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Calibri" w:hAnsi="Calibri"/>
          <w:b/>
          <w:color w:val="auto"/>
          <w:sz w:val="48"/>
          <w:szCs w:val="48"/>
        </w:rPr>
      </w:pPr>
      <w:r>
        <w:rPr>
          <w:rFonts w:hint="eastAsia" w:ascii="Calibri" w:hAnsi="Calibri"/>
          <w:b/>
          <w:color w:val="auto"/>
          <w:sz w:val="48"/>
          <w:szCs w:val="48"/>
        </w:rPr>
        <w:t>广西环境执法大练兵活动</w:t>
      </w:r>
    </w:p>
    <w:p>
      <w:pPr>
        <w:spacing w:line="600" w:lineRule="exact"/>
        <w:jc w:val="center"/>
        <w:rPr>
          <w:rFonts w:ascii="Calibri" w:hAnsi="Calibri"/>
          <w:b/>
          <w:color w:val="auto"/>
          <w:sz w:val="48"/>
          <w:szCs w:val="48"/>
        </w:rPr>
      </w:pPr>
      <w:r>
        <w:rPr>
          <w:rFonts w:hint="eastAsia" w:ascii="Calibri" w:hAnsi="Calibri"/>
          <w:b/>
          <w:color w:val="auto"/>
          <w:sz w:val="48"/>
          <w:szCs w:val="48"/>
        </w:rPr>
        <w:t>先进个人候选人魏毅事迹材料</w:t>
      </w:r>
    </w:p>
    <w:p>
      <w:pPr>
        <w:rPr>
          <w:color w:val="auto"/>
          <w:sz w:val="24"/>
        </w:rPr>
      </w:pPr>
    </w:p>
    <w:p>
      <w:pPr>
        <w:ind w:firstLine="480" w:firstLineChars="200"/>
        <w:rPr>
          <w:color w:val="auto"/>
          <w:sz w:val="24"/>
        </w:rPr>
      </w:pPr>
    </w:p>
    <w:p>
      <w:pPr>
        <w:ind w:firstLine="640" w:firstLineChars="200"/>
        <w:rPr>
          <w:rFonts w:ascii="仿宋_GB2312" w:eastAsia="仿宋_GB2312"/>
          <w:color w:val="auto"/>
          <w:sz w:val="32"/>
          <w:szCs w:val="32"/>
        </w:rPr>
      </w:pPr>
      <w:r>
        <w:rPr>
          <w:rFonts w:hint="eastAsia" w:ascii="仿宋_GB2312" w:eastAsia="仿宋_GB2312"/>
          <w:color w:val="auto"/>
          <w:sz w:val="32"/>
          <w:szCs w:val="32"/>
        </w:rPr>
        <w:t>魏毅，男，汉族，32岁，中共党员，2009年毕业于桂林理工大学博文学院计算机科学与技术专业，2010年初进入梧州市环境监察支队工作，长期坚守环境监察执法一线，于2017年起担任支队监察二科负责人。</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多年来，该同志勤于钻研、踏实奋进，积极适应环境监察工作发展新趋势、新要求，在环境投诉处理、现场执法、案件办理等工作中熟练运用先进监察技术，办案表现突出、成绩显著；该同志敢于担当作为，在急难险重任务中勇挑重担、攻坚克难，其扎实稳健、严谨细致的干事作风态度得到上级领导和同事认可。</w:t>
      </w:r>
    </w:p>
    <w:p>
      <w:pPr>
        <w:pStyle w:val="10"/>
        <w:numPr>
          <w:ilvl w:val="0"/>
          <w:numId w:val="1"/>
        </w:numPr>
        <w:ind w:firstLineChars="0"/>
        <w:rPr>
          <w:rFonts w:ascii="黑体" w:hAnsi="黑体" w:eastAsia="黑体"/>
          <w:color w:val="auto"/>
          <w:sz w:val="32"/>
          <w:szCs w:val="32"/>
        </w:rPr>
      </w:pPr>
      <w:r>
        <w:rPr>
          <w:rFonts w:hint="eastAsia" w:ascii="黑体" w:hAnsi="黑体" w:eastAsia="黑体"/>
          <w:color w:val="auto"/>
          <w:sz w:val="32"/>
          <w:szCs w:val="32"/>
        </w:rPr>
        <w:t>夯实理想信念，心中常怀戒律</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思想是行动的先导。长期以来，魏毅同志坚持学习马列主义、毛泽东思想、邓小平理论、“三个代表”、科学发展观和习近平新时代中国特色社会主义思想，不断筑牢理想信念基石。党的十八大以来，以习近平同志为核心的党中央对生态文明建设和环境保护工作提出了一系列新思想新观点新要求。该同志认真学习领会习近平总书记系列讲话精神，在思想上、行动上始终与党中央保持高度一致，以党的最新理论武装头脑、指导实践、推动工作。</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作风是成事的关键。在工作中，该同志严格执行环保系统《八项规定，六项禁令》，坚决抵制腐败现象风气，以身作则营造风清气正的环保执法环境；发扬广西环保系统四干精神，以为人民保卫蓝天碧水的责任感、使命感，在困难面前咬着牙干、握着拳干、硬着头皮干、顶着压力干，扎扎实实履职尽责，不断提升人民群众的环保获得感。</w:t>
      </w:r>
    </w:p>
    <w:p>
      <w:pPr>
        <w:pStyle w:val="10"/>
        <w:numPr>
          <w:ilvl w:val="0"/>
          <w:numId w:val="1"/>
        </w:numPr>
        <w:ind w:firstLineChars="0"/>
        <w:rPr>
          <w:rFonts w:ascii="黑体" w:hAnsi="黑体" w:eastAsia="黑体"/>
          <w:color w:val="auto"/>
          <w:sz w:val="32"/>
          <w:szCs w:val="32"/>
        </w:rPr>
      </w:pPr>
      <w:r>
        <w:rPr>
          <w:rFonts w:hint="eastAsia" w:ascii="黑体" w:hAnsi="黑体" w:eastAsia="黑体"/>
          <w:color w:val="auto"/>
          <w:sz w:val="32"/>
          <w:szCs w:val="32"/>
        </w:rPr>
        <w:t>勤于钻研学习，努力成长为一线执法能手</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在发展新时代，环境保护工作也面临诸多新任务、新挑战。为适应发展新形势，魏毅同志始终保持谦虚谨慎、踏实奋进的作风态度，积极参加各级各类环保业务培训，认真听取专家教授关于法律解读、现场执法、案件办理等讲解，系统整理、归纳、总结有关知识点，以丰富理论知识储备，提升依法办案能力。</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同时，该同志坚持钻研环保领域经典执法案例，结合自身办案经历，剖析、学习经典案件线索查证方式，补齐自己查办案件的不足和短板；坚持学以致用，将学习到的理论、方法运用到行业、企业、园区等日常监管执法工作中，以理论指导实践，以实践推动办案能力提升，努力成长为一线执法能手、好手。</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2015年，该同志在自治区大气污染防治工作中表现突出，荣获全区2015年度“大气污染防治工作先进个人”称号。在2017年梧州市环境监察执法技能大比武中，该同志带领小组队员，经过笔试、问答、抢答、现场模拟执法多轮比试，荣获大比武集体第一名的好成绩。2018年连续两周荣获生态环境部《2018-2019年蓝天保卫战重点区域强化督查》第七轮次督查“每周一榜”称号。</w:t>
      </w:r>
    </w:p>
    <w:p>
      <w:pPr>
        <w:pStyle w:val="10"/>
        <w:numPr>
          <w:ilvl w:val="0"/>
          <w:numId w:val="1"/>
        </w:numPr>
        <w:ind w:firstLineChars="0"/>
        <w:rPr>
          <w:rFonts w:ascii="黑体" w:hAnsi="黑体" w:eastAsia="黑体"/>
          <w:color w:val="auto"/>
          <w:sz w:val="32"/>
          <w:szCs w:val="32"/>
        </w:rPr>
      </w:pPr>
      <w:r>
        <w:rPr>
          <w:rFonts w:hint="eastAsia" w:ascii="黑体" w:hAnsi="黑体" w:eastAsia="黑体"/>
          <w:color w:val="auto"/>
          <w:sz w:val="32"/>
          <w:szCs w:val="32"/>
        </w:rPr>
        <w:t>敢于挑重担涉险滩，坚决护卫碧水蓝天</w:t>
      </w:r>
    </w:p>
    <w:p>
      <w:pPr>
        <w:ind w:firstLine="643" w:firstLineChars="200"/>
        <w:rPr>
          <w:rFonts w:ascii="楷体" w:hAnsi="楷体" w:eastAsia="楷体"/>
          <w:b/>
          <w:color w:val="auto"/>
          <w:sz w:val="32"/>
          <w:szCs w:val="32"/>
        </w:rPr>
      </w:pPr>
      <w:r>
        <w:rPr>
          <w:rFonts w:hint="eastAsia" w:ascii="楷体" w:hAnsi="楷体" w:eastAsia="楷体"/>
          <w:b/>
          <w:color w:val="auto"/>
          <w:sz w:val="32"/>
          <w:szCs w:val="32"/>
        </w:rPr>
        <w:t>（一）积极响应主动作为保卫蓝天</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2018年9月，魏毅同志积极响应组织号召，主动参加2018—2019年蓝天保卫战重点区域强化督查工作，并担任唐山七组组长，带领组员开展为期两周的督查工作。</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督查期间，该同志按照上级部署要求，研究制定全组工作方案，明确工作目标，以科学分工机制落实工作、压实责任，为顺利完成督查打下基础。同时，该同志带领全体组员一起强化学习大气污染热点网格应用、高架源自动监控数据应用、打击弄虚作假等执法督查工作要点，确保督查技术手段应用得当；按时、按质上报督查情况材料，将每天督查工作情况归类整理形成台账记录，便于日后查阅，实现督查工作思路明确、路径清晰、方法得当。</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由于措施得当、工作有序，该同志所带领的唐山七组连续两周荣获生态环境部《2018-2019年蓝天保卫战重点区域强化督查》第七轮次督查“每周一榜”称号。</w:t>
      </w:r>
    </w:p>
    <w:p>
      <w:pPr>
        <w:ind w:firstLine="643" w:firstLineChars="200"/>
        <w:rPr>
          <w:rFonts w:ascii="楷体" w:hAnsi="楷体" w:eastAsia="楷体"/>
          <w:b/>
          <w:color w:val="auto"/>
          <w:sz w:val="32"/>
          <w:szCs w:val="32"/>
        </w:rPr>
      </w:pPr>
      <w:r>
        <w:rPr>
          <w:rFonts w:hint="eastAsia" w:ascii="楷体" w:hAnsi="楷体" w:eastAsia="楷体"/>
          <w:b/>
          <w:color w:val="auto"/>
          <w:sz w:val="32"/>
          <w:szCs w:val="32"/>
        </w:rPr>
        <w:t>（二）带头担责攻坚克难护卫环境</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作为科室负责人，魏毅同志在做好科室日常工作基础上，承担起大气督查、宝石巡查等专项工作。2016年以来，该同志主导推进梧州市人工宝石产业综合整治、蓝天保卫战、污染防治百日攻坚等专项行动，啃下了一个个环保工作“硬骨头”，助力擦亮山清水秀生态美的广西生态金字招牌。</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在中央环保督查组进驻广西期间，该同志以高度的责任意识坚守岗位，按期完成督查组转办投诉件处理工作，多份案件处理工作获上级肯定。其中，在督查组转办的、梧州市莲花山排污口酸性废水问题查办中，莲花山弘洁宝石加工园区疑似利用雨水渠排放废水。在该案件办理过程中，该同志不顾地下涵洞散发阵阵恶臭，主动爬入漆黑肮脏的涵洞70多米深，探查酸性废水流出源头，进一步锁定关键证据。</w:t>
      </w:r>
    </w:p>
    <w:p>
      <w:pPr>
        <w:widowControl/>
        <w:spacing w:line="560" w:lineRule="exact"/>
        <w:ind w:firstLine="627" w:firstLineChars="196"/>
        <w:jc w:val="left"/>
        <w:rPr>
          <w:rFonts w:ascii="黑体" w:hAnsi="黑体" w:eastAsia="黑体"/>
          <w:color w:val="auto"/>
          <w:sz w:val="32"/>
          <w:szCs w:val="32"/>
        </w:rPr>
      </w:pPr>
      <w:r>
        <w:rPr>
          <w:rFonts w:hint="eastAsia" w:ascii="黑体" w:hAnsi="黑体" w:eastAsia="黑体"/>
          <w:color w:val="auto"/>
          <w:sz w:val="32"/>
          <w:szCs w:val="32"/>
        </w:rPr>
        <w:t>四、</w:t>
      </w:r>
      <w:r>
        <w:rPr>
          <w:rFonts w:hint="eastAsia" w:ascii="黑体" w:hAnsi="黑体" w:eastAsia="黑体" w:cs="宋体"/>
          <w:bCs/>
          <w:color w:val="auto"/>
          <w:kern w:val="0"/>
          <w:sz w:val="32"/>
          <w:szCs w:val="32"/>
        </w:rPr>
        <w:t>典型案件查处及心得体会</w:t>
      </w:r>
    </w:p>
    <w:p>
      <w:pPr>
        <w:adjustRightInd w:val="0"/>
        <w:snapToGrid w:val="0"/>
        <w:spacing w:line="560" w:lineRule="exact"/>
        <w:ind w:firstLine="643" w:firstLineChars="200"/>
        <w:rPr>
          <w:rFonts w:ascii="楷体" w:hAnsi="楷体" w:eastAsia="楷体" w:cs="方正小标宋_GBK"/>
          <w:b/>
          <w:bCs/>
          <w:color w:val="auto"/>
          <w:sz w:val="32"/>
          <w:szCs w:val="32"/>
        </w:rPr>
      </w:pPr>
      <w:r>
        <w:rPr>
          <w:rFonts w:hint="eastAsia" w:ascii="楷体" w:hAnsi="楷体" w:eastAsia="楷体"/>
          <w:b/>
          <w:color w:val="auto"/>
          <w:sz w:val="32"/>
          <w:szCs w:val="32"/>
        </w:rPr>
        <w:t>（一）</w:t>
      </w:r>
      <w:r>
        <w:rPr>
          <w:rFonts w:hint="eastAsia" w:ascii="楷体" w:hAnsi="楷体" w:eastAsia="楷体" w:cs="方正小标宋_GBK"/>
          <w:b/>
          <w:bCs/>
          <w:color w:val="auto"/>
          <w:sz w:val="32"/>
          <w:szCs w:val="32"/>
        </w:rPr>
        <w:t>陆明根、金永根经营的塑料回收加工点未办理环保审批手续擅自投入生产案</w:t>
      </w:r>
    </w:p>
    <w:p>
      <w:pPr>
        <w:spacing w:line="560" w:lineRule="exact"/>
        <w:ind w:firstLine="640" w:firstLineChars="200"/>
        <w:rPr>
          <w:rFonts w:ascii="仿宋" w:hAnsi="仿宋" w:eastAsia="仿宋"/>
          <w:color w:val="auto"/>
          <w:sz w:val="32"/>
          <w:szCs w:val="32"/>
        </w:rPr>
      </w:pPr>
      <w:r>
        <w:rPr>
          <w:rFonts w:hint="eastAsia" w:ascii="仿宋" w:hAnsi="仿宋" w:eastAsia="仿宋"/>
          <w:color w:val="auto"/>
          <w:kern w:val="0"/>
          <w:sz w:val="32"/>
          <w:lang w:bidi="en-US"/>
        </w:rPr>
        <w:t>2017年</w:t>
      </w:r>
      <w:r>
        <w:rPr>
          <w:rFonts w:hint="eastAsia" w:ascii="仿宋" w:hAnsi="仿宋" w:eastAsia="仿宋"/>
          <w:color w:val="auto"/>
          <w:sz w:val="32"/>
          <w:szCs w:val="32"/>
        </w:rPr>
        <w:t>10月26日，梧州</w:t>
      </w:r>
      <w:r>
        <w:rPr>
          <w:rFonts w:ascii="仿宋" w:hAnsi="仿宋" w:eastAsia="仿宋"/>
          <w:color w:val="auto"/>
          <w:kern w:val="0"/>
          <w:sz w:val="32"/>
          <w:szCs w:val="32"/>
          <w:lang w:bidi="en-US"/>
        </w:rPr>
        <w:t>市环境监察支队在再生利用行业清理整顿专项行动中</w:t>
      </w:r>
      <w:r>
        <w:rPr>
          <w:rFonts w:hint="eastAsia" w:ascii="仿宋" w:hAnsi="仿宋" w:eastAsia="仿宋"/>
          <w:color w:val="auto"/>
          <w:kern w:val="0"/>
          <w:sz w:val="32"/>
          <w:szCs w:val="32"/>
          <w:lang w:bidi="en-US"/>
        </w:rPr>
        <w:t>，</w:t>
      </w:r>
      <w:r>
        <w:rPr>
          <w:rFonts w:ascii="仿宋" w:hAnsi="仿宋" w:eastAsia="仿宋"/>
          <w:color w:val="auto"/>
          <w:kern w:val="0"/>
          <w:sz w:val="32"/>
          <w:szCs w:val="32"/>
          <w:lang w:bidi="en-US"/>
        </w:rPr>
        <w:t>发现陆明根</w:t>
      </w:r>
      <w:r>
        <w:rPr>
          <w:rFonts w:hint="eastAsia" w:ascii="仿宋" w:hAnsi="仿宋" w:eastAsia="仿宋"/>
          <w:color w:val="auto"/>
          <w:kern w:val="0"/>
          <w:sz w:val="32"/>
          <w:szCs w:val="32"/>
          <w:lang w:bidi="en-US"/>
        </w:rPr>
        <w:t>、</w:t>
      </w:r>
      <w:r>
        <w:rPr>
          <w:rFonts w:ascii="仿宋" w:hAnsi="仿宋" w:eastAsia="仿宋"/>
          <w:color w:val="auto"/>
          <w:kern w:val="0"/>
          <w:sz w:val="32"/>
          <w:szCs w:val="32"/>
          <w:lang w:bidi="en-US"/>
        </w:rPr>
        <w:t>金永根经营的塑料加工厂未办理环保审批手续</w:t>
      </w:r>
      <w:r>
        <w:rPr>
          <w:rFonts w:hint="eastAsia" w:ascii="仿宋" w:hAnsi="仿宋" w:eastAsia="仿宋"/>
          <w:color w:val="auto"/>
          <w:kern w:val="0"/>
          <w:sz w:val="32"/>
          <w:szCs w:val="32"/>
          <w:lang w:bidi="en-US"/>
        </w:rPr>
        <w:t>，</w:t>
      </w:r>
      <w:r>
        <w:rPr>
          <w:rFonts w:ascii="仿宋" w:hAnsi="仿宋" w:eastAsia="仿宋"/>
          <w:color w:val="auto"/>
          <w:kern w:val="0"/>
          <w:sz w:val="32"/>
          <w:szCs w:val="32"/>
          <w:lang w:bidi="en-US"/>
        </w:rPr>
        <w:t>擅自从事废塑料回收加工生产</w:t>
      </w:r>
      <w:r>
        <w:rPr>
          <w:rFonts w:hint="eastAsia" w:ascii="仿宋" w:hAnsi="仿宋" w:eastAsia="仿宋"/>
          <w:color w:val="auto"/>
          <w:kern w:val="0"/>
          <w:sz w:val="32"/>
          <w:szCs w:val="32"/>
          <w:lang w:bidi="en-US"/>
        </w:rPr>
        <w:t>，</w:t>
      </w:r>
      <w:r>
        <w:rPr>
          <w:rFonts w:ascii="仿宋" w:hAnsi="仿宋" w:eastAsia="仿宋"/>
          <w:color w:val="auto"/>
          <w:kern w:val="0"/>
          <w:sz w:val="32"/>
          <w:szCs w:val="32"/>
          <w:lang w:bidi="en-US"/>
        </w:rPr>
        <w:t>且</w:t>
      </w:r>
      <w:r>
        <w:rPr>
          <w:rFonts w:hint="eastAsia" w:ascii="仿宋" w:hAnsi="仿宋" w:eastAsia="仿宋"/>
          <w:color w:val="auto"/>
          <w:sz w:val="32"/>
          <w:szCs w:val="32"/>
        </w:rPr>
        <w:t>加工产生的大量废水未经妥善处理就往外排放</w:t>
      </w:r>
      <w:r>
        <w:rPr>
          <w:rFonts w:hint="eastAsia" w:ascii="仿宋" w:hAnsi="仿宋" w:eastAsia="仿宋"/>
          <w:color w:val="auto"/>
          <w:kern w:val="0"/>
          <w:sz w:val="32"/>
          <w:szCs w:val="32"/>
          <w:lang w:bidi="en-US"/>
        </w:rPr>
        <w:t>。环境</w:t>
      </w:r>
      <w:r>
        <w:rPr>
          <w:rFonts w:hint="eastAsia" w:ascii="仿宋" w:hAnsi="仿宋" w:eastAsia="仿宋"/>
          <w:color w:val="auto"/>
          <w:sz w:val="32"/>
          <w:szCs w:val="32"/>
        </w:rPr>
        <w:t>执法人员当即展开现场取证，对其启动立案查处程序。</w:t>
      </w:r>
    </w:p>
    <w:p>
      <w:pPr>
        <w:spacing w:line="560" w:lineRule="exact"/>
        <w:ind w:firstLine="640" w:firstLineChars="200"/>
        <w:rPr>
          <w:rFonts w:ascii="仿宋" w:hAnsi="仿宋" w:eastAsia="仿宋"/>
          <w:color w:val="auto"/>
          <w:kern w:val="0"/>
          <w:sz w:val="32"/>
          <w:szCs w:val="32"/>
          <w:lang w:bidi="en-US"/>
        </w:rPr>
      </w:pPr>
      <w:r>
        <w:rPr>
          <w:rFonts w:hint="eastAsia" w:ascii="仿宋" w:hAnsi="仿宋" w:eastAsia="仿宋"/>
          <w:color w:val="auto"/>
          <w:sz w:val="32"/>
          <w:szCs w:val="32"/>
        </w:rPr>
        <w:t>11月30日复查发现，该厂已落实整改，建设完善污水收集处理设施，外排废水达到《污水综合排放标准》（GB8978-1996）表4一级排放标准。市环保部门对其“未验先投”行为处以2万元罚款。</w:t>
      </w:r>
    </w:p>
    <w:p>
      <w:pPr>
        <w:spacing w:line="560" w:lineRule="exact"/>
        <w:ind w:firstLine="640" w:firstLineChars="200"/>
        <w:rPr>
          <w:rFonts w:ascii="仿宋" w:hAnsi="仿宋" w:eastAsia="仿宋"/>
          <w:color w:val="auto"/>
          <w:kern w:val="0"/>
          <w:sz w:val="32"/>
          <w:szCs w:val="32"/>
          <w:lang w:bidi="en-US"/>
        </w:rPr>
      </w:pPr>
      <w:r>
        <w:rPr>
          <w:rFonts w:hint="eastAsia" w:ascii="仿宋_GB2312" w:eastAsia="仿宋_GB2312"/>
          <w:color w:val="auto"/>
          <w:sz w:val="32"/>
          <w:szCs w:val="32"/>
        </w:rPr>
        <w:t>在办理本案过程中，魏毅同志坚持“事实为依据、法律为准绳”原则，根据违法行为时间节点，按照“从旧兼从轻”原则适用法律、做实案件，确保办案过程既严格遵守法律法规，又从严打击环境违法行为，教育警醒各行各业生产经营者不能以牺牲环境为代价谋取利益。</w:t>
      </w:r>
    </w:p>
    <w:p>
      <w:pPr>
        <w:pStyle w:val="5"/>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在锁定证据过程中，该同志全面细致做好现场取证工作，并在调查询问阶段，通过现场勘查示意图结合现场生产经营照片方式，组织严密证据链条，印证当事人未批先建、未验先投行为。</w:t>
      </w:r>
    </w:p>
    <w:p>
      <w:pPr>
        <w:pStyle w:val="5"/>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同时，该同志严格落实执法程序，及时开展案件复查工作，督促企业落实整改措施，确保办案成效和质量。</w:t>
      </w:r>
    </w:p>
    <w:p>
      <w:pPr>
        <w:adjustRightInd w:val="0"/>
        <w:snapToGrid w:val="0"/>
        <w:spacing w:line="560" w:lineRule="exact"/>
        <w:ind w:firstLine="643" w:firstLineChars="200"/>
        <w:rPr>
          <w:rFonts w:ascii="楷体" w:hAnsi="楷体" w:eastAsia="楷体" w:cs="方正小标宋_GBK"/>
          <w:b/>
          <w:bCs/>
          <w:color w:val="auto"/>
          <w:sz w:val="32"/>
          <w:szCs w:val="32"/>
        </w:rPr>
      </w:pPr>
      <w:r>
        <w:rPr>
          <w:rFonts w:hint="eastAsia" w:ascii="楷体" w:hAnsi="楷体" w:eastAsia="楷体" w:cs="方正小标宋_GBK"/>
          <w:b/>
          <w:bCs/>
          <w:color w:val="auto"/>
          <w:sz w:val="32"/>
          <w:szCs w:val="32"/>
        </w:rPr>
        <w:t>（二）梧州市建联建筑有限公司混凝土搅拌站擅自倾倒工业废渣案</w:t>
      </w:r>
    </w:p>
    <w:p>
      <w:pPr>
        <w:spacing w:line="560" w:lineRule="exact"/>
        <w:ind w:firstLine="640" w:firstLineChars="200"/>
        <w:rPr>
          <w:rFonts w:ascii="仿宋_GB2312" w:hAnsi="宋体" w:eastAsia="仿宋_GB2312"/>
          <w:color w:val="auto"/>
          <w:sz w:val="32"/>
          <w:szCs w:val="32"/>
        </w:rPr>
      </w:pPr>
      <w:r>
        <w:rPr>
          <w:rFonts w:ascii="仿宋_GB2312" w:hAnsi="宋体" w:eastAsia="仿宋_GB2312"/>
          <w:color w:val="auto"/>
          <w:sz w:val="32"/>
          <w:szCs w:val="32"/>
        </w:rPr>
        <w:t>201</w:t>
      </w:r>
      <w:r>
        <w:rPr>
          <w:rFonts w:hint="eastAsia" w:ascii="仿宋_GB2312" w:hAnsi="宋体" w:eastAsia="仿宋_GB2312"/>
          <w:color w:val="auto"/>
          <w:sz w:val="32"/>
          <w:szCs w:val="32"/>
        </w:rPr>
        <w:t>8年6月29日，</w:t>
      </w:r>
      <w:r>
        <w:rPr>
          <w:rFonts w:hint="eastAsia" w:ascii="仿宋" w:hAnsi="仿宋" w:eastAsia="仿宋"/>
          <w:color w:val="auto"/>
          <w:sz w:val="32"/>
          <w:szCs w:val="32"/>
        </w:rPr>
        <w:t>梧州</w:t>
      </w:r>
      <w:r>
        <w:rPr>
          <w:rFonts w:ascii="仿宋" w:hAnsi="仿宋" w:eastAsia="仿宋"/>
          <w:color w:val="auto"/>
          <w:kern w:val="0"/>
          <w:sz w:val="32"/>
          <w:szCs w:val="32"/>
          <w:lang w:bidi="en-US"/>
        </w:rPr>
        <w:t>市环境监察支队</w:t>
      </w:r>
      <w:r>
        <w:rPr>
          <w:rFonts w:hint="eastAsia" w:ascii="仿宋_GB2312" w:hAnsi="宋体" w:eastAsia="仿宋_GB2312"/>
          <w:color w:val="auto"/>
          <w:sz w:val="32"/>
          <w:szCs w:val="32"/>
        </w:rPr>
        <w:t>执法人员对龙新村里新里展开现场检查发现，大量碱性灰白色废渣被人为倾倒在龙新村里新里一个山坑内，部分废渣进入山坑内积水，但该山坑未硬化，未进行防渗处理。</w:t>
      </w:r>
    </w:p>
    <w:p>
      <w:pPr>
        <w:spacing w:line="560" w:lineRule="exact"/>
        <w:ind w:firstLine="640" w:firstLineChars="200"/>
        <w:rPr>
          <w:rFonts w:ascii="仿宋_GB2312" w:hAnsi="宋体" w:eastAsia="仿宋_GB2312"/>
          <w:color w:val="auto"/>
          <w:sz w:val="32"/>
          <w:szCs w:val="32"/>
        </w:rPr>
      </w:pPr>
      <w:r>
        <w:rPr>
          <w:rFonts w:hint="eastAsia" w:ascii="仿宋_GB2312" w:hAnsi="宋体" w:eastAsia="仿宋_GB2312"/>
          <w:color w:val="auto"/>
          <w:sz w:val="32"/>
          <w:szCs w:val="32"/>
        </w:rPr>
        <w:t>发现上述情况后，魏毅同志立即着手展开调查，通过走访周边群众，排查询问周边企业，初步判断梧州市建联建筑有限公司混凝土搅拌站（下称“建联搅拌站”）有重大嫌疑，随即到建联搅拌站查实其生产废渣去向。</w:t>
      </w:r>
    </w:p>
    <w:p>
      <w:pPr>
        <w:spacing w:line="560" w:lineRule="exact"/>
        <w:ind w:firstLine="640" w:firstLineChars="200"/>
        <w:rPr>
          <w:rFonts w:ascii="仿宋_GB2312" w:hAnsi="宋体" w:eastAsia="仿宋_GB2312"/>
          <w:color w:val="auto"/>
          <w:sz w:val="32"/>
          <w:szCs w:val="32"/>
        </w:rPr>
      </w:pPr>
      <w:r>
        <w:rPr>
          <w:rFonts w:hint="eastAsia" w:ascii="仿宋_GB2312" w:hAnsi="宋体" w:eastAsia="仿宋_GB2312"/>
          <w:color w:val="auto"/>
          <w:sz w:val="32"/>
          <w:szCs w:val="32"/>
        </w:rPr>
        <w:t>通过核实建联搅拌站废渣存量，现场询问有关负责人，在相关证据支持下，建联搅拌站有关人员承认将混凝土搅拌站洗车废水、生产废水沉淀池的废渣等倾倒在龙新村里新里的山坑内。该同志立即带领建联搅拌站负责人到现场进行指认，并对指认现场进行拍照、录像，在证据灭失前锁定违法事实。</w:t>
      </w:r>
    </w:p>
    <w:p>
      <w:pPr>
        <w:widowControl/>
        <w:spacing w:line="560" w:lineRule="exact"/>
        <w:ind w:firstLine="640" w:firstLineChars="200"/>
        <w:rPr>
          <w:rFonts w:ascii="仿宋_GB2312" w:hAnsi="宋体" w:eastAsia="仿宋_GB2312"/>
          <w:color w:val="auto"/>
          <w:sz w:val="32"/>
          <w:szCs w:val="32"/>
        </w:rPr>
      </w:pPr>
      <w:r>
        <w:rPr>
          <w:rFonts w:hint="eastAsia" w:ascii="仿宋_GB2312" w:hAnsi="宋体" w:eastAsia="仿宋_GB2312"/>
          <w:color w:val="auto"/>
          <w:sz w:val="32"/>
          <w:szCs w:val="32"/>
        </w:rPr>
        <w:t>在办理该案时，该同志办案思路清晰，注重统筹协调，通过整合科室执法力量，同步开展现场检查、走访排查、调查询问、现场指认等工作，成功锁定证据及违法事实。在调查询问中，该同志从细研究违法现象、证据、询问笔录，抽丝剥茧确定建联搅拌站副站长蔡志雄为案件主要负责人，并根据《</w:t>
      </w:r>
      <w:r>
        <w:rPr>
          <w:rFonts w:ascii="仿宋_GB2312" w:hAnsi="宋体" w:eastAsia="仿宋_GB2312"/>
          <w:color w:val="auto"/>
          <w:sz w:val="32"/>
          <w:szCs w:val="32"/>
        </w:rPr>
        <w:t>中华人民共和国环境保护法》第六十三条及《行政主管部门移送适用行政拘留环境违法案件暂行办法》第五条等法律条文</w:t>
      </w:r>
      <w:r>
        <w:rPr>
          <w:rFonts w:hint="eastAsia" w:ascii="仿宋_GB2312" w:hAnsi="宋体" w:eastAsia="仿宋_GB2312"/>
          <w:color w:val="auto"/>
          <w:sz w:val="32"/>
          <w:szCs w:val="32"/>
        </w:rPr>
        <w:t>，</w:t>
      </w:r>
      <w:r>
        <w:rPr>
          <w:rFonts w:ascii="仿宋_GB2312" w:hAnsi="宋体" w:eastAsia="仿宋_GB2312"/>
          <w:color w:val="auto"/>
          <w:sz w:val="32"/>
          <w:szCs w:val="32"/>
        </w:rPr>
        <w:t>将</w:t>
      </w:r>
      <w:r>
        <w:rPr>
          <w:rFonts w:hint="eastAsia" w:ascii="仿宋_GB2312" w:hAnsi="宋体" w:eastAsia="仿宋_GB2312"/>
          <w:color w:val="auto"/>
          <w:sz w:val="32"/>
          <w:szCs w:val="32"/>
        </w:rPr>
        <w:t>蔡志雄</w:t>
      </w:r>
      <w:r>
        <w:rPr>
          <w:rFonts w:ascii="仿宋_GB2312" w:hAnsi="宋体" w:eastAsia="仿宋_GB2312"/>
          <w:color w:val="auto"/>
          <w:sz w:val="32"/>
          <w:szCs w:val="32"/>
        </w:rPr>
        <w:t>移送至公安机关作进一步调查处理</w:t>
      </w:r>
      <w:r>
        <w:rPr>
          <w:rFonts w:hint="eastAsia" w:ascii="仿宋_GB2312" w:hAnsi="宋体" w:eastAsia="仿宋_GB2312"/>
          <w:color w:val="auto"/>
          <w:sz w:val="32"/>
          <w:szCs w:val="32"/>
        </w:rPr>
        <w:t>。</w:t>
      </w:r>
    </w:p>
    <w:p>
      <w:pPr>
        <w:ind w:firstLine="640" w:firstLineChars="200"/>
        <w:rPr>
          <w:rFonts w:ascii="仿宋_GB2312" w:hAnsi="宋体" w:eastAsia="仿宋_GB2312"/>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altName w:val="Arial Unicode MS"/>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2F7BB0"/>
    <w:multiLevelType w:val="multilevel"/>
    <w:tmpl w:val="4F2F7BB0"/>
    <w:lvl w:ilvl="0" w:tentative="0">
      <w:start w:val="1"/>
      <w:numFmt w:val="japaneseCounting"/>
      <w:lvlText w:val="%1、"/>
      <w:lvlJc w:val="left"/>
      <w:pPr>
        <w:ind w:left="960" w:hanging="48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22C65"/>
    <w:rsid w:val="00042A9F"/>
    <w:rsid w:val="00083641"/>
    <w:rsid w:val="000C151A"/>
    <w:rsid w:val="000C42F3"/>
    <w:rsid w:val="00195D8F"/>
    <w:rsid w:val="001C404D"/>
    <w:rsid w:val="001E560D"/>
    <w:rsid w:val="0025036E"/>
    <w:rsid w:val="0025340A"/>
    <w:rsid w:val="002630A7"/>
    <w:rsid w:val="00292914"/>
    <w:rsid w:val="002B361F"/>
    <w:rsid w:val="00326FF9"/>
    <w:rsid w:val="00383CA5"/>
    <w:rsid w:val="003B16A4"/>
    <w:rsid w:val="003B5570"/>
    <w:rsid w:val="00415D3E"/>
    <w:rsid w:val="00423FB7"/>
    <w:rsid w:val="004A5EFA"/>
    <w:rsid w:val="0051387A"/>
    <w:rsid w:val="00543FD9"/>
    <w:rsid w:val="005B6210"/>
    <w:rsid w:val="005F0EA2"/>
    <w:rsid w:val="005F66E9"/>
    <w:rsid w:val="00600E25"/>
    <w:rsid w:val="00613A48"/>
    <w:rsid w:val="00622C65"/>
    <w:rsid w:val="006C2BA0"/>
    <w:rsid w:val="007134EC"/>
    <w:rsid w:val="00732253"/>
    <w:rsid w:val="00754D88"/>
    <w:rsid w:val="007603B8"/>
    <w:rsid w:val="0077508A"/>
    <w:rsid w:val="007C5CC6"/>
    <w:rsid w:val="00880453"/>
    <w:rsid w:val="008E2127"/>
    <w:rsid w:val="009439DF"/>
    <w:rsid w:val="009658C2"/>
    <w:rsid w:val="009F0D86"/>
    <w:rsid w:val="00A9312C"/>
    <w:rsid w:val="00B201C9"/>
    <w:rsid w:val="00B234AD"/>
    <w:rsid w:val="00BB11CA"/>
    <w:rsid w:val="00BE4C26"/>
    <w:rsid w:val="00C33233"/>
    <w:rsid w:val="00C60D90"/>
    <w:rsid w:val="00CA051B"/>
    <w:rsid w:val="00CB60B3"/>
    <w:rsid w:val="00CC007E"/>
    <w:rsid w:val="00CF6AEB"/>
    <w:rsid w:val="00D060C2"/>
    <w:rsid w:val="00D70DEE"/>
    <w:rsid w:val="00D72D2C"/>
    <w:rsid w:val="00DA2FA7"/>
    <w:rsid w:val="00DB1516"/>
    <w:rsid w:val="00DB644F"/>
    <w:rsid w:val="00DC1585"/>
    <w:rsid w:val="00DC7295"/>
    <w:rsid w:val="00E1707B"/>
    <w:rsid w:val="00F16CC0"/>
    <w:rsid w:val="00F20FA4"/>
    <w:rsid w:val="00F45628"/>
    <w:rsid w:val="00F6262D"/>
    <w:rsid w:val="00F66EE5"/>
    <w:rsid w:val="7FEE5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9"/>
    <w:semiHidden/>
    <w:unhideWhenUsed/>
    <w:uiPriority w:val="99"/>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link w:val="12"/>
    <w:unhideWhenUs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sz w:val="24"/>
      <w:szCs w:val="24"/>
    </w:rPr>
  </w:style>
  <w:style w:type="character" w:customStyle="1" w:styleId="8">
    <w:name w:val="页眉 Char"/>
    <w:basedOn w:val="6"/>
    <w:link w:val="4"/>
    <w:semiHidden/>
    <w:uiPriority w:val="99"/>
    <w:rPr>
      <w:sz w:val="18"/>
      <w:szCs w:val="18"/>
    </w:rPr>
  </w:style>
  <w:style w:type="character" w:customStyle="1" w:styleId="9">
    <w:name w:val="页脚 Char"/>
    <w:basedOn w:val="6"/>
    <w:link w:val="3"/>
    <w:semiHidden/>
    <w:uiPriority w:val="99"/>
    <w:rPr>
      <w:sz w:val="18"/>
      <w:szCs w:val="18"/>
    </w:rPr>
  </w:style>
  <w:style w:type="paragraph" w:styleId="10">
    <w:name w:val="List Paragraph"/>
    <w:basedOn w:val="1"/>
    <w:qFormat/>
    <w:uiPriority w:val="34"/>
    <w:pPr>
      <w:ind w:firstLine="420" w:firstLineChars="200"/>
    </w:pPr>
  </w:style>
  <w:style w:type="character" w:customStyle="1" w:styleId="11">
    <w:name w:val="HTML 预设格式 Char"/>
    <w:link w:val="5"/>
    <w:uiPriority w:val="99"/>
    <w:rPr>
      <w:rFonts w:ascii="宋体" w:hAnsi="宋体"/>
      <w:sz w:val="24"/>
      <w:szCs w:val="24"/>
    </w:rPr>
  </w:style>
  <w:style w:type="character" w:customStyle="1" w:styleId="12">
    <w:name w:val="HTML 预设格式 Char1"/>
    <w:basedOn w:val="6"/>
    <w:link w:val="5"/>
    <w:semiHidden/>
    <w:uiPriority w:val="99"/>
    <w:rPr>
      <w:rFonts w:ascii="Courier New" w:hAnsi="Courier New" w:cs="Courier New"/>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432</Words>
  <Characters>2463</Characters>
  <Lines>20</Lines>
  <Paragraphs>5</Paragraphs>
  <TotalTime>0</TotalTime>
  <ScaleCrop>false</ScaleCrop>
  <LinksUpToDate>false</LinksUpToDate>
  <CharactersWithSpaces>2890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2018-11-28T00:40:00Z</dcterms:created>
  <dc:creator>liangyanru</dc:creator>
  <cp:lastModifiedBy>lenovo</cp:lastModifiedBy>
  <dcterms:modified xsi:type="dcterms:W3CDTF">2018-12-18T01:56:17Z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